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pPr>
      <w:r>
        <w:rPr/>
        <w:t>Elektritööde mahu kirjeldus. , Saue vald</w:t>
      </w:r>
    </w:p>
    <w:p>
      <w:pPr>
        <w:pStyle w:val="Normal"/>
        <w:rPr>
          <w:color w:val="FF0000"/>
        </w:rPr>
      </w:pPr>
      <w:r>
        <w:rPr>
          <w:color w:val="FF0000"/>
        </w:rPr>
        <w:t>Elektritööd</w:t>
      </w:r>
    </w:p>
    <w:p>
      <w:pPr>
        <w:pStyle w:val="Normal"/>
        <w:rPr/>
      </w:pPr>
      <w:r>
        <w:rPr/>
        <w:t>Kõik tööd ja materjalid (välja arvatud käesolevas dokumendis teisiti märgitud tööd ja materjalid) projekti mõtte realiseerimiseks ja funktsionaalsuse tagamiseks kuuluvad tööde mahtu.</w:t>
      </w:r>
    </w:p>
    <w:p>
      <w:pPr>
        <w:pStyle w:val="Normal"/>
        <w:rPr/>
      </w:pPr>
      <w:r>
        <w:rPr/>
        <w:t>Kogu kaablite paigaldus tuleb teha hoone siseseina katteplaadi taga varjatult, välja arvatud tehnoruumis, kus paigaldus peab olema pinna pealne. Kaablite välisseinast läbi viimisel tuleb minimaalselt vigastada tuuletõkkeplaati ja niiskustõkkekilet, tuuletõkkeplaadi ja torustiku vahe täita vahuga, kile teipida kaabli külge kinni.</w:t>
      </w:r>
    </w:p>
    <w:p>
      <w:pPr>
        <w:pStyle w:val="Normal"/>
        <w:rPr/>
      </w:pPr>
      <w:r>
        <w:rPr/>
        <w:t>Enne kaablite paigaldamist tuleb töövõtjal ette valmistada joonis kaabliteede rajamiseks ning see tellijaga läbi arutada. Seintel on seespool horisontaalroovitus, mille taha tuleb vertikaalsed kaablid paigaldada enne seinte sulgemist. Aurutõkkekile vigastamine on keelatud. Kaablid tuleb kinnitada  usaldusväärselt konstruktsiooni külge, kinnitamise meetodi valib paigaldaja, kuid kaablid ei tohi olla lahtiselt pikemalt kui 1-1,5 m. Tehnoruumi s tuleb rajada kaablikinnitussüsteem kaablite ruumi sisenemis</w:t>
      </w:r>
      <w:bookmarkStart w:id="0" w:name="_GoBack"/>
      <w:bookmarkEnd w:id="0"/>
      <w:r>
        <w:rPr/>
        <w:t>e kohast kuni kilbini.</w:t>
      </w:r>
    </w:p>
    <w:p>
      <w:pPr>
        <w:pStyle w:val="Normal"/>
        <w:rPr/>
      </w:pPr>
      <w:r>
        <w:rPr/>
        <w:t>Paigaldatud süsteemide kohta tuleb esitada täielik dokumentsioon vastavalt üldtuntud nõuetele. Sealhulgas tuleb teha vajalikud mõõdistused ja esitada deklaratsioon. Auditi tellib tellija ise.</w:t>
      </w:r>
    </w:p>
    <w:p>
      <w:pPr>
        <w:pStyle w:val="Normal"/>
        <w:rPr/>
      </w:pPr>
      <w:r>
        <w:rPr/>
        <w:t>Materjalid</w:t>
      </w:r>
    </w:p>
    <w:p>
      <w:pPr>
        <w:pStyle w:val="Normal"/>
        <w:rPr/>
      </w:pPr>
      <w:r>
        <w:rPr/>
        <w:t>Tellija hangib järgmised materjalid ja toob need kokkulepitud ajal objektile ja annab üle töövõtjale.</w:t>
      </w:r>
    </w:p>
    <w:p>
      <w:pPr>
        <w:pStyle w:val="Normal"/>
        <w:ind w:left="708" w:right="0" w:hanging="0"/>
        <w:rPr/>
      </w:pPr>
      <w:r>
        <w:rPr/>
        <w:t>Kilbid PK ja JK (kokku 4 tk)</w:t>
        <w:br/>
        <w:t>Nõrkvoolukastid NV, NK (kokku 6 tk) koos pistikupesadega</w:t>
        <w:br/>
        <w:t>Kõik pistikupesad, lülitid ja muud paigalduskarpidesse kinnitatavad materjalid</w:t>
        <w:br/>
        <w:t>Niiskete ruumide ja välisvalgustid</w:t>
        <w:br/>
        <w:t>Põrandakütte materjalid</w:t>
        <w:br/>
        <w:t>Sauna kerised, sauna valgustid</w:t>
      </w:r>
    </w:p>
    <w:p>
      <w:pPr>
        <w:pStyle w:val="Normal"/>
        <w:rPr/>
      </w:pPr>
      <w:r>
        <w:rPr/>
        <w:t>Mitte paigaldatavad materjalid</w:t>
      </w:r>
    </w:p>
    <w:p>
      <w:pPr>
        <w:pStyle w:val="Normal"/>
        <w:ind w:left="708" w:right="0" w:hanging="0"/>
        <w:rPr/>
      </w:pPr>
      <w:r>
        <w:rPr/>
        <w:t>Valgustid tavaruumides</w:t>
        <w:br/>
        <w:t>Seadmetoosid, mis paigaldatakse seinaplaatide paigaldamise käigus ehitaja poolt</w:t>
      </w:r>
    </w:p>
    <w:p>
      <w:pPr>
        <w:pStyle w:val="Normal"/>
        <w:rPr/>
      </w:pPr>
      <w:r>
        <w:rPr/>
        <w:t>Ühendamine ja paigaldamine</w:t>
      </w:r>
    </w:p>
    <w:p>
      <w:pPr>
        <w:pStyle w:val="Normal"/>
        <w:rPr/>
      </w:pPr>
      <w:r>
        <w:rPr/>
        <w:t>Töövõtja ühendab kõik projektijärgsed materjalid projekti kohaselt, ei ühendata seadmeid, mis on märgitud käesolevas seletuses kui mitteühendatavad.</w:t>
      </w:r>
    </w:p>
    <w:p>
      <w:pPr>
        <w:pStyle w:val="Normal"/>
        <w:rPr/>
      </w:pPr>
      <w:r>
        <w:rPr/>
        <w:t xml:space="preserve">Töövõtja ühendab projektis näidatud seadmetele kõik toitekaablid tingimusel, kui seadme tarnija on esitanud selge juhise toite ühendamise kohta, vastasel juhul ei saa toitekaablit ühendada, st kaabli ühendamine ei kuulu töövõttu. Ventilatsiooniseadme ja puldi vaheliste kaablite ühendamine kuulub töövõttu, vastava juhendi annab üle tellija. </w:t>
      </w:r>
    </w:p>
    <w:p>
      <w:pPr>
        <w:pStyle w:val="Normal"/>
        <w:rPr/>
      </w:pPr>
      <w:r>
        <w:rPr/>
        <w:t>Lae tagune kubu ventilaator (1 tk) tuleb ühendada vastavalt skeemile ja paigaldada ventilaatoriga kaasasolev kaabel ripplae taha kuni kubuni. Kubu ühendamine kõikides köökides ei kuulu töö mahtu. Töö mahtu ei kuulu köögimööblis oleva tehnika ja valgustite ühendamine.</w:t>
      </w:r>
    </w:p>
    <w:p>
      <w:pPr>
        <w:pStyle w:val="Normal"/>
        <w:rPr/>
      </w:pPr>
      <w:r>
        <w:rPr/>
        <w:t>Tehnoruumis paigaldatakse kilbid ja nõrkvoolukastid seinale, töövõttu ei kuulu valvekeskuse VK ja fonosüsteemi seadmete paigaldamine. Eluruumides paigaldatakse nõrkvoolukastid ja kilbid süvistatult seina sisse (puitkarkassein, milles karkassi on sobiv koht jäetud).</w:t>
      </w:r>
    </w:p>
    <w:p>
      <w:pPr>
        <w:pStyle w:val="Normal"/>
        <w:rPr/>
      </w:pPr>
      <w:r>
        <w:rPr/>
        <w:t>Välisseadmete kaablid viia läbi soojustuse projektis märgitud hulgas. Väljas paigaldada kaablid välisfassaadi tuuletõkkeplaadi peale või nähtavale jääva puitkonstruktsiooni külge pinnapealselt. Nähtavad kaablid peavad olema visuaalselt korrektsed ja tagatud UV kindlus.</w:t>
      </w:r>
    </w:p>
    <w:p>
      <w:pPr>
        <w:pStyle w:val="Normal"/>
        <w:rPr/>
      </w:pPr>
      <w:r>
        <w:rPr/>
        <w:t>Töövõttu kuulub kõikide projekti skeemidel ja plaanidel näidatud kaablite paigaldamine ning markeerimine projektijärgsete täistega.  Nõrkvoolukaablid tuleb ühendada pistikupesaga, nõrkvoolukasti poolse otsa ühendamine ei kuulu töövõttu. Põrandaküttesüsteemi kaablite ühendamine ei kuulu töövõttu. Lisakaablite ühendamine ei kuulu töövõttu. Fonolukukaablite ühendamine ei kuulu töövõttu.</w:t>
      </w:r>
    </w:p>
    <w:p>
      <w:pPr>
        <w:pStyle w:val="Normal"/>
        <w:rPr/>
      </w:pPr>
      <w:r>
        <w:rPr/>
        <w:t>Töövõttu kuulub põrandaküttemati paigaldamine niisketesse ruumidesse. Põrand on varem ehitaja poolt ette valmistatud põrandakütte paigaldamiseks. Paigaldada tuleb põrandakütte matt ja põrandaandur ning viia kaablid paigaldustoosi seinal.</w:t>
      </w:r>
    </w:p>
    <w:p>
      <w:pPr>
        <w:pStyle w:val="Normal"/>
        <w:rPr/>
      </w:pPr>
      <w:r>
        <w:rPr/>
        <w:t xml:space="preserve">Kui plaanil on viitejoonega märgitud kaabli pikkus, (näiteks 1 m) siis see tähendab, et seinapinnast tuleb jätta kaablile varu (näite puhul 1 m). </w:t>
      </w:r>
    </w:p>
    <w:p>
      <w:pPr>
        <w:pStyle w:val="Normal"/>
        <w:rPr/>
      </w:pPr>
      <w:r>
        <w:rPr/>
        <w:t>Kui plaanil on kõrgus näitamata, siis pistikupesa kõrgus on 0,2 m ja lülitil 1,0 m põrandast. Ühenduskarpides olevad ühendused teha, et olek svõimalik juurde ühendada kaableid, st vähemalt 1 vaba kaabli ühenduskoht ühendusklemmidel.</w:t>
      </w:r>
    </w:p>
    <w:p>
      <w:pPr>
        <w:pStyle w:val="Normal"/>
        <w:rPr/>
      </w:pPr>
      <w:r>
        <w:rPr/>
        <w:t>Antennimasti (teras 30 mm) maandusjuhe MK 6 koro viia pööningul olevast antennimastist peakilpi PK ja ühendada mõlemast otsast. Antennimasti paigaldab ehitaja.</w:t>
      </w:r>
    </w:p>
    <w:p>
      <w:pPr>
        <w:pStyle w:val="Normal"/>
        <w:rPr/>
      </w:pPr>
      <w:r>
        <w:rPr/>
        <w:t>Korter 1 paigaldada tehnoruumi ja pööningu vahele kaabel PPJ 5G2,5 ja otsastada mõlemast otsast ühenduskarbiga.</w:t>
      </w:r>
    </w:p>
    <w:p>
      <w:pPr>
        <w:pStyle w:val="Normal"/>
        <w:rPr/>
      </w:pPr>
      <w:r>
        <w:rPr/>
        <w:t>Välisvõrk</w:t>
      </w:r>
    </w:p>
    <w:p>
      <w:pPr>
        <w:pStyle w:val="Normal"/>
        <w:rPr/>
      </w:pPr>
      <w:r>
        <w:rPr/>
        <w:t>Tööde mahtu kuulub tellija poolt varem paigaldatud toitekaabli ühendamine kilbiga PK.</w:t>
      </w:r>
    </w:p>
    <w:sectPr>
      <w:type w:val="nextPage"/>
      <w:pgSz w:w="11906" w:h="16838"/>
      <w:pgMar w:left="1417" w:right="1417" w:header="0" w:top="1417" w:footer="0"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Liberation Sans">
    <w:altName w:val="Arial"/>
    <w:charset w:val="ba"/>
    <w:family w:val="swiss"/>
    <w:pitch w:val="variable"/>
  </w:font>
</w:fonts>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docDefaults>
    <w:rPrDefault>
      <w:rPr>
        <w:rFonts w:ascii="Calibri" w:hAnsi="Calibri" w:eastAsia="SimSun" w:cs="Calibri"/>
        <w:sz w:val="22"/>
        <w:szCs w:val="22"/>
        <w:lang w:val="et-EE" w:eastAsia="en-US" w:bidi="ar-SA"/>
      </w:rPr>
    </w:rPrDefault>
    <w:pPrDefault>
      <w:pPr>
        <w:spacing w:lineRule="auto" w:line="276"/>
      </w:pPr>
    </w:pPrDefault>
  </w:docDefaults>
  <w:latentStyles w:count="267" w:defQFormat="0" w:defUnhideWhenUsed="1" w:defSemiHidden="1" w:defUIPriority="99" w:defLockedState="0">
    <w:lsdException w:qFormat="1" w:unhideWhenUsed="0" w:semiHidden="0" w:uiPriority="0" w:name="Normal"/>
    <w:lsdException w:qFormat="1" w:unhideWhenUsed="0" w:semiHidden="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unhideWhenUsed="0" w:semiHidden="0" w:uiPriority="10" w:name="Title"/>
    <w:lsdException w:uiPriority="1" w:name="Default Paragraph Font"/>
    <w:lsdException w:qFormat="1" w:unhideWhenUsed="0" w:semiHidden="0" w:uiPriority="11" w:name="Subtitle"/>
    <w:lsdException w:qFormat="1" w:unhideWhenUsed="0" w:semiHidden="0" w:uiPriority="22" w:name="Strong"/>
    <w:lsdException w:qFormat="1" w:unhideWhenUsed="0" w:semiHidden="0" w:uiPriority="20" w:name="Emphasis"/>
    <w:lsdException w:unhideWhenUsed="0" w:semiHidden="0" w:uiPriority="59" w:name="Table Grid"/>
    <w:lsdException w:unhideWhenUsed="0" w:name="Placeholder Text"/>
    <w:lsdException w:qFormat="1" w:unhideWhenUsed="0" w:semiHidden="0"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qFormat="1" w:unhideWhenUsed="0" w:semiHidden="0" w:uiPriority="34" w:name="List Paragraph"/>
    <w:lsdException w:qFormat="1" w:unhideWhenUsed="0" w:semiHidden="0" w:uiPriority="29" w:name="Quote"/>
    <w:lsdException w:qFormat="1" w:unhideWhenUsed="0" w:semiHidden="0"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qFormat="1" w:unhideWhenUsed="0" w:semiHidden="0" w:uiPriority="19" w:name="Subtle Emphasis"/>
    <w:lsdException w:qFormat="1" w:unhideWhenUsed="0" w:semiHidden="0" w:uiPriority="21" w:name="Intense Emphasis"/>
    <w:lsdException w:qFormat="1" w:unhideWhenUsed="0" w:semiHidden="0" w:uiPriority="31" w:name="Subtle Reference"/>
    <w:lsdException w:qFormat="1" w:unhideWhenUsed="0" w:semiHidden="0" w:uiPriority="32" w:name="Intense Reference"/>
    <w:lsdException w:qFormat="1" w:unhideWhenUsed="0" w:semiHidden="0" w:uiPriority="33" w:name="Book Title"/>
    <w:lsdException w:uiPriority="37" w:name="Bibliography"/>
    <w:lsdException w:qFormat="1" w:uiPriority="39" w:name="TOC Heading"/>
  </w:latentStyles>
  <w:style w:type="paragraph" w:styleId="Normal" w:default="1">
    <w:name w:val="Normal"/>
    <w:qFormat/>
    <w:pPr>
      <w:widowControl/>
      <w:suppressAutoHyphens w:val="true"/>
      <w:bidi w:val="0"/>
      <w:spacing w:lineRule="auto" w:line="276" w:before="0" w:after="200"/>
      <w:jc w:val="left"/>
    </w:pPr>
    <w:rPr>
      <w:rFonts w:ascii="Calibri" w:hAnsi="Calibri" w:eastAsia="SimSun" w:cs="Calibri"/>
      <w:color w:val="auto"/>
      <w:sz w:val="22"/>
      <w:szCs w:val="22"/>
      <w:lang w:val="et-EE" w:eastAsia="en-US" w:bidi="ar-SA"/>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pPr>
      <w:suppressLineNumbers/>
      <w:spacing w:before="120" w:after="120"/>
    </w:pPr>
    <w:rPr>
      <w:rFonts w:cs="Mangal"/>
      <w:i/>
      <w:iCs/>
      <w:sz w:val="24"/>
      <w:szCs w:val="24"/>
    </w:rPr>
  </w:style>
  <w:style w:type="paragraph" w:styleId="Index">
    <w:name w:val="Index"/>
    <w:basedOn w:val="Normal"/>
    <w:pPr>
      <w:suppressLineNumbers/>
    </w:pPr>
    <w:rPr>
      <w:rFonts w:cs="Mangal"/>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2018-01-14T13:51:00Z</dcterms:created>
  <dc:creator>Windows User</dc:creator>
  <dc:language>et-EE</dc:language>
  <cp:lastModifiedBy>Windows User</cp:lastModifiedBy>
  <cp:lastPrinted>2018-03-12T08:19:00Z</cp:lastPrinted>
  <dcterms:modified xsi:type="dcterms:W3CDTF">2018-04-09T04:36:00Z</dcterms:modified>
  <cp:revision>12</cp:revision>
</cp:coreProperties>
</file>